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F2" w:rsidRPr="00D029A8" w:rsidRDefault="00D029A8" w:rsidP="00685570">
      <w:pPr>
        <w:spacing w:line="360" w:lineRule="auto"/>
        <w:rPr>
          <w:rFonts w:ascii="Times New Roman" w:eastAsia="Newton-Regular" w:hAnsi="Times New Roman"/>
          <w:b/>
          <w:sz w:val="32"/>
          <w:szCs w:val="32"/>
          <w:u w:val="single"/>
          <w:lang w:val="uk-UA"/>
        </w:rPr>
      </w:pPr>
      <w:r w:rsidRPr="00D029A8">
        <w:rPr>
          <w:rFonts w:ascii="Times New Roman" w:eastAsia="Newton-Regular" w:hAnsi="Times New Roman"/>
          <w:b/>
          <w:sz w:val="32"/>
          <w:szCs w:val="32"/>
          <w:u w:val="single"/>
          <w:lang w:val="uk-UA"/>
        </w:rPr>
        <w:t xml:space="preserve">Група </w:t>
      </w:r>
      <w:r w:rsidR="00A40EF2" w:rsidRPr="00D029A8">
        <w:rPr>
          <w:rFonts w:ascii="Times New Roman" w:eastAsia="Newton-Regular" w:hAnsi="Times New Roman"/>
          <w:b/>
          <w:sz w:val="32"/>
          <w:szCs w:val="32"/>
          <w:u w:val="single"/>
          <w:lang w:val="uk-UA"/>
        </w:rPr>
        <w:t>ГМ – 17</w:t>
      </w:r>
    </w:p>
    <w:p w:rsidR="00410C53" w:rsidRPr="00CC004E" w:rsidRDefault="00410C53" w:rsidP="00410C53">
      <w:pPr>
        <w:spacing w:after="0" w:line="237" w:lineRule="auto"/>
        <w:rPr>
          <w:rFonts w:ascii="Times New Roman" w:hAnsi="Times New Roman"/>
          <w:sz w:val="24"/>
          <w:szCs w:val="24"/>
          <w:lang w:val="uk-UA"/>
        </w:rPr>
      </w:pPr>
      <w:r w:rsidRPr="00BE6855">
        <w:rPr>
          <w:rFonts w:ascii="Times New Roman" w:eastAsiaTheme="minorHAnsi" w:hAnsi="Times New Roman"/>
          <w:b/>
          <w:sz w:val="24"/>
          <w:szCs w:val="24"/>
          <w:lang w:val="uk-UA" w:eastAsia="en-US"/>
        </w:rPr>
        <w:t xml:space="preserve">Тема заняття. </w:t>
      </w:r>
      <w:r>
        <w:rPr>
          <w:rFonts w:ascii="Times New Roman" w:eastAsiaTheme="minorHAnsi" w:hAnsi="Times New Roman"/>
          <w:b/>
          <w:sz w:val="24"/>
          <w:szCs w:val="24"/>
          <w:lang w:val="uk-UA" w:eastAsia="en-US"/>
        </w:rPr>
        <w:t xml:space="preserve">Усвідомлення правил ТБ, дотримання інструкцій, попереджень. </w:t>
      </w:r>
      <w:r w:rsidRPr="00BE6855">
        <w:rPr>
          <w:rFonts w:ascii="Times New Roman" w:eastAsiaTheme="minorHAnsi" w:hAnsi="Times New Roman"/>
          <w:b/>
          <w:sz w:val="24"/>
          <w:szCs w:val="24"/>
          <w:lang w:val="uk-UA" w:eastAsia="en-US"/>
        </w:rPr>
        <w:t>Комп’ютерний переклад іншомовної інформації.</w:t>
      </w:r>
    </w:p>
    <w:p w:rsidR="00410C53" w:rsidRPr="00014102" w:rsidRDefault="00410C53" w:rsidP="00410C53">
      <w:pPr>
        <w:spacing w:line="360" w:lineRule="auto"/>
        <w:rPr>
          <w:rFonts w:ascii="Times New Roman" w:eastAsia="Calibri" w:hAnsi="Times New Roman"/>
          <w:b/>
          <w:sz w:val="24"/>
          <w:szCs w:val="24"/>
          <w:lang w:val="uk-UA" w:eastAsia="en-US"/>
        </w:rPr>
      </w:pPr>
      <w:r w:rsidRPr="00BE6855">
        <w:rPr>
          <w:rFonts w:ascii="Times New Roman" w:eastAsiaTheme="minorHAnsi" w:hAnsi="Times New Roman"/>
          <w:b/>
          <w:sz w:val="24"/>
          <w:szCs w:val="24"/>
          <w:lang w:val="uk-UA" w:eastAsia="en-US"/>
        </w:rPr>
        <w:t>Посткомп’ютерне  редагування перекладу.</w:t>
      </w:r>
    </w:p>
    <w:p w:rsidR="00410C53" w:rsidRDefault="00410C53" w:rsidP="00410C53">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Література: </w:t>
      </w:r>
      <w:r w:rsidRPr="00CC004E">
        <w:rPr>
          <w:rFonts w:ascii="Times New Roman" w:eastAsiaTheme="minorHAnsi" w:hAnsi="Times New Roman"/>
          <w:b/>
          <w:sz w:val="24"/>
          <w:szCs w:val="24"/>
          <w:lang w:val="uk-UA" w:eastAsia="en-US"/>
        </w:rPr>
        <w:t xml:space="preserve">робочий зошит </w:t>
      </w:r>
      <w:r>
        <w:rPr>
          <w:rFonts w:ascii="Times New Roman" w:eastAsiaTheme="minorHAnsi" w:hAnsi="Times New Roman"/>
          <w:b/>
          <w:sz w:val="24"/>
          <w:szCs w:val="24"/>
          <w:lang w:val="uk-UA" w:eastAsia="en-US"/>
        </w:rPr>
        <w:t>«Ділова англійська мова» /укладач Бурик Л. М./</w:t>
      </w:r>
    </w:p>
    <w:p w:rsidR="00410C53" w:rsidRPr="00014270" w:rsidRDefault="00410C53" w:rsidP="00410C53">
      <w:pPr>
        <w:spacing w:line="360" w:lineRule="auto"/>
        <w:rPr>
          <w:rFonts w:ascii="Times New Roman" w:eastAsiaTheme="minorHAnsi" w:hAnsi="Times New Roman"/>
          <w:b/>
          <w:sz w:val="24"/>
          <w:szCs w:val="24"/>
          <w:lang w:val="uk-UA" w:eastAsia="en-US"/>
        </w:rPr>
      </w:pPr>
    </w:p>
    <w:p w:rsidR="00410C53" w:rsidRPr="00014270" w:rsidRDefault="00410C53" w:rsidP="00410C53">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                               Завдання </w:t>
      </w:r>
      <w:r>
        <w:rPr>
          <w:rFonts w:ascii="Times New Roman" w:eastAsiaTheme="minorHAnsi" w:hAnsi="Times New Roman"/>
          <w:b/>
          <w:sz w:val="24"/>
          <w:szCs w:val="24"/>
          <w:lang w:val="uk-UA" w:eastAsia="en-US"/>
        </w:rPr>
        <w:t>для виконання</w:t>
      </w:r>
      <w:r w:rsidRPr="00014270">
        <w:rPr>
          <w:rFonts w:ascii="Times New Roman" w:eastAsiaTheme="minorHAnsi" w:hAnsi="Times New Roman"/>
          <w:b/>
          <w:sz w:val="24"/>
          <w:szCs w:val="24"/>
          <w:lang w:val="uk-UA" w:eastAsia="en-US"/>
        </w:rPr>
        <w:t>:</w:t>
      </w:r>
    </w:p>
    <w:p w:rsidR="00410C53" w:rsidRPr="00014270" w:rsidRDefault="00410C53" w:rsidP="00410C53">
      <w:pPr>
        <w:spacing w:line="360" w:lineRule="auto"/>
        <w:rPr>
          <w:rFonts w:ascii="Times New Roman" w:eastAsia="Newton-Regular" w:hAnsi="Times New Roman"/>
          <w:sz w:val="24"/>
          <w:szCs w:val="24"/>
        </w:rPr>
      </w:pPr>
      <w:r w:rsidRPr="00014270">
        <w:rPr>
          <w:rFonts w:ascii="Times New Roman" w:eastAsia="Newton-Regular" w:hAnsi="Times New Roman"/>
          <w:sz w:val="24"/>
          <w:szCs w:val="24"/>
        </w:rPr>
        <w:t xml:space="preserve">1. </w:t>
      </w:r>
      <w:r>
        <w:rPr>
          <w:rFonts w:ascii="Times New Roman" w:eastAsia="Newton-Regular" w:hAnsi="Times New Roman"/>
          <w:sz w:val="24"/>
          <w:szCs w:val="24"/>
          <w:lang w:val="uk-UA"/>
        </w:rPr>
        <w:t xml:space="preserve">Завдання </w:t>
      </w:r>
      <w:r w:rsidRPr="00014270">
        <w:rPr>
          <w:rFonts w:ascii="Times New Roman" w:eastAsia="Newton-Regular" w:hAnsi="Times New Roman"/>
          <w:sz w:val="24"/>
          <w:szCs w:val="24"/>
        </w:rPr>
        <w:t>виконується письмово.</w:t>
      </w:r>
    </w:p>
    <w:p w:rsidR="00410C53" w:rsidRDefault="00410C53" w:rsidP="00410C53">
      <w:pPr>
        <w:spacing w:line="360" w:lineRule="auto"/>
        <w:rPr>
          <w:rFonts w:ascii="Times New Roman" w:eastAsia="Calibri" w:hAnsi="Times New Roman"/>
          <w:sz w:val="24"/>
          <w:szCs w:val="24"/>
          <w:lang w:val="uk-UA" w:eastAsia="en-US"/>
        </w:rPr>
      </w:pPr>
      <w:r>
        <w:rPr>
          <w:rFonts w:ascii="Times New Roman" w:eastAsia="Newton-Regular" w:hAnsi="Times New Roman"/>
          <w:sz w:val="24"/>
          <w:szCs w:val="24"/>
        </w:rPr>
        <w:t xml:space="preserve">2. </w:t>
      </w:r>
      <w:r>
        <w:rPr>
          <w:rFonts w:ascii="Times New Roman" w:eastAsia="Newton-Regular" w:hAnsi="Times New Roman"/>
          <w:sz w:val="24"/>
          <w:szCs w:val="24"/>
          <w:lang w:val="uk-UA"/>
        </w:rPr>
        <w:t>Студенти перекладають текст з допомогою комп’ютера</w:t>
      </w:r>
      <w:r>
        <w:rPr>
          <w:rFonts w:ascii="Times New Roman" w:eastAsia="Calibri" w:hAnsi="Times New Roman"/>
          <w:sz w:val="24"/>
          <w:szCs w:val="24"/>
          <w:lang w:val="uk-UA" w:eastAsia="en-US"/>
        </w:rPr>
        <w:t>.</w:t>
      </w:r>
    </w:p>
    <w:p w:rsidR="00410C53" w:rsidRDefault="00410C53" w:rsidP="00410C53">
      <w:pPr>
        <w:spacing w:line="360"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3. Редагують комп’ютерний переклад та записують.</w:t>
      </w:r>
    </w:p>
    <w:p w:rsidR="00410C53" w:rsidRPr="00410C53" w:rsidRDefault="00410C53" w:rsidP="00410C53">
      <w:pPr>
        <w:shd w:val="clear" w:color="auto" w:fill="FFFFFF"/>
        <w:spacing w:after="225" w:line="240" w:lineRule="auto"/>
        <w:outlineLvl w:val="1"/>
        <w:rPr>
          <w:rFonts w:ascii="Arial" w:hAnsi="Arial" w:cs="Arial"/>
          <w:color w:val="294A70"/>
          <w:sz w:val="30"/>
          <w:szCs w:val="30"/>
          <w:lang w:val="uk-UA" w:eastAsia="uk-UA"/>
        </w:rPr>
      </w:pPr>
      <w:r w:rsidRPr="00410C53">
        <w:rPr>
          <w:rFonts w:ascii="Arial" w:hAnsi="Arial" w:cs="Arial"/>
          <w:b/>
          <w:bCs/>
          <w:color w:val="294A70"/>
          <w:sz w:val="30"/>
          <w:szCs w:val="30"/>
          <w:lang w:val="uk-UA" w:eastAsia="uk-UA"/>
        </w:rPr>
        <w:t>Surveying (Construction) Safety Talk</w:t>
      </w:r>
    </w:p>
    <w:p w:rsidR="00410C53" w:rsidRPr="00410C53" w:rsidRDefault="00410C53" w:rsidP="00410C53">
      <w:pPr>
        <w:shd w:val="clear" w:color="auto" w:fill="FFFFFF"/>
        <w:spacing w:after="225" w:line="240" w:lineRule="auto"/>
        <w:rPr>
          <w:rFonts w:ascii="Arial" w:hAnsi="Arial" w:cs="Arial"/>
          <w:color w:val="000000"/>
          <w:lang w:val="uk-UA" w:eastAsia="uk-UA"/>
        </w:rPr>
      </w:pPr>
      <w:r w:rsidRPr="00410C53">
        <w:rPr>
          <w:rFonts w:ascii="Arial" w:hAnsi="Arial" w:cs="Arial"/>
          <w:color w:val="000000"/>
          <w:lang w:val="uk-UA" w:eastAsia="uk-UA"/>
        </w:rPr>
        <w:t>Surveying is a relatively repetitive and low hazard task on its own. However, surveyors on construction sites face many different hazards while completing their work. It is important to evaluate the work environment and eliminate as many hazards as possible prior to beginning surveying activities onsite.</w:t>
      </w:r>
    </w:p>
    <w:p w:rsidR="00410C53" w:rsidRPr="00410C53" w:rsidRDefault="00410C53" w:rsidP="00410C53">
      <w:pPr>
        <w:shd w:val="clear" w:color="auto" w:fill="FFFFFF"/>
        <w:spacing w:after="225" w:line="360" w:lineRule="auto"/>
        <w:outlineLvl w:val="2"/>
        <w:rPr>
          <w:rFonts w:ascii="Arial" w:hAnsi="Arial" w:cs="Arial"/>
          <w:color w:val="294A70"/>
          <w:lang w:val="uk-UA" w:eastAsia="uk-UA"/>
        </w:rPr>
      </w:pPr>
      <w:r w:rsidRPr="00410C53">
        <w:rPr>
          <w:rFonts w:ascii="Arial" w:hAnsi="Arial" w:cs="Arial"/>
          <w:b/>
          <w:bCs/>
          <w:color w:val="294A70"/>
          <w:lang w:val="uk-UA" w:eastAsia="uk-UA"/>
        </w:rPr>
        <w:t>Surveying on a Construction Site Hazards</w:t>
      </w:r>
    </w:p>
    <w:p w:rsidR="00410C53" w:rsidRPr="00410C53" w:rsidRDefault="00410C53" w:rsidP="00410C53">
      <w:pPr>
        <w:shd w:val="clear" w:color="auto" w:fill="FFFFFF"/>
        <w:spacing w:after="225" w:line="360" w:lineRule="auto"/>
        <w:rPr>
          <w:rFonts w:ascii="Arial" w:hAnsi="Arial" w:cs="Arial"/>
          <w:color w:val="000000"/>
          <w:lang w:val="uk-UA" w:eastAsia="uk-UA"/>
        </w:rPr>
      </w:pPr>
      <w:r w:rsidRPr="00410C53">
        <w:rPr>
          <w:rFonts w:ascii="Arial" w:hAnsi="Arial" w:cs="Arial"/>
          <w:color w:val="000000"/>
          <w:lang w:val="uk-UA" w:eastAsia="uk-UA"/>
        </w:rPr>
        <w:t>There is a lot of activity going on at any construction site. Site wide operations cannot be shut down for surveying or any other single work tasks to be completed for the most part. Instead, hazards need to be considered and safeguards put into place to ensure the task can be completed safely. Some hazards to consider:</w:t>
      </w:r>
    </w:p>
    <w:p w:rsidR="00410C53" w:rsidRPr="00410C53" w:rsidRDefault="00410C53" w:rsidP="00410C53">
      <w:pPr>
        <w:numPr>
          <w:ilvl w:val="0"/>
          <w:numId w:val="2"/>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Struck-by or caught in between incidents. The major hazard for surveyors on a construction site is </w:t>
      </w:r>
      <w:hyperlink r:id="rId5" w:history="1">
        <w:r w:rsidRPr="00410C53">
          <w:rPr>
            <w:rFonts w:ascii="Arial" w:hAnsi="Arial" w:cs="Arial"/>
            <w:b/>
            <w:bCs/>
            <w:color w:val="294A70"/>
            <w:sz w:val="21"/>
            <w:szCs w:val="21"/>
            <w:u w:val="single"/>
            <w:lang w:val="uk-UA" w:eastAsia="uk-UA"/>
          </w:rPr>
          <w:t>moving equipment</w:t>
        </w:r>
      </w:hyperlink>
      <w:r w:rsidRPr="00410C53">
        <w:rPr>
          <w:rFonts w:ascii="Arial" w:hAnsi="Arial" w:cs="Arial"/>
          <w:color w:val="000000"/>
          <w:sz w:val="21"/>
          <w:szCs w:val="21"/>
          <w:lang w:val="uk-UA" w:eastAsia="uk-UA"/>
        </w:rPr>
        <w:t>.</w:t>
      </w:r>
    </w:p>
    <w:p w:rsidR="00410C53" w:rsidRPr="00410C53" w:rsidRDefault="00410C53" w:rsidP="00410C53">
      <w:pPr>
        <w:numPr>
          <w:ilvl w:val="0"/>
          <w:numId w:val="2"/>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Dropped objects. Personnel working below higher work areas are put a risk for </w:t>
      </w:r>
      <w:hyperlink r:id="rId6" w:history="1">
        <w:r w:rsidRPr="00410C53">
          <w:rPr>
            <w:rFonts w:ascii="Arial" w:hAnsi="Arial" w:cs="Arial"/>
            <w:b/>
            <w:bCs/>
            <w:color w:val="294A70"/>
            <w:sz w:val="21"/>
            <w:szCs w:val="21"/>
            <w:u w:val="single"/>
            <w:lang w:val="uk-UA" w:eastAsia="uk-UA"/>
          </w:rPr>
          <w:t>dropped object related injuries</w:t>
        </w:r>
      </w:hyperlink>
      <w:r w:rsidRPr="00410C53">
        <w:rPr>
          <w:rFonts w:ascii="Arial" w:hAnsi="Arial" w:cs="Arial"/>
          <w:color w:val="000000"/>
          <w:sz w:val="21"/>
          <w:szCs w:val="21"/>
          <w:lang w:val="uk-UA" w:eastAsia="uk-UA"/>
        </w:rPr>
        <w:t>.</w:t>
      </w:r>
    </w:p>
    <w:p w:rsidR="00410C53" w:rsidRPr="00410C53" w:rsidRDefault="00410C53" w:rsidP="00410C53">
      <w:pPr>
        <w:numPr>
          <w:ilvl w:val="0"/>
          <w:numId w:val="2"/>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Slips, trips, falls. Uneven ground and objects create a situation where a surveyor can be easily injured during their work.</w:t>
      </w:r>
    </w:p>
    <w:p w:rsidR="00410C53" w:rsidRPr="00410C53" w:rsidRDefault="00410C53" w:rsidP="00410C53">
      <w:pPr>
        <w:numPr>
          <w:ilvl w:val="0"/>
          <w:numId w:val="2"/>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Hand injuries. Surveyors who utilize stakes have the hazard of injuries of hands or fingers while hammering in stakes.</w:t>
      </w:r>
    </w:p>
    <w:p w:rsidR="00410C53" w:rsidRPr="00410C53" w:rsidRDefault="00410C53" w:rsidP="00410C53">
      <w:pPr>
        <w:numPr>
          <w:ilvl w:val="0"/>
          <w:numId w:val="2"/>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Eye injuries.</w:t>
      </w:r>
      <w:hyperlink r:id="rId7" w:history="1">
        <w:r w:rsidRPr="00410C53">
          <w:rPr>
            <w:rFonts w:ascii="Arial" w:hAnsi="Arial" w:cs="Arial"/>
            <w:b/>
            <w:bCs/>
            <w:color w:val="294A70"/>
            <w:sz w:val="21"/>
            <w:szCs w:val="21"/>
            <w:u w:val="single"/>
            <w:lang w:val="uk-UA" w:eastAsia="uk-UA"/>
          </w:rPr>
          <w:t> Dust </w:t>
        </w:r>
      </w:hyperlink>
      <w:r w:rsidRPr="00410C53">
        <w:rPr>
          <w:rFonts w:ascii="Arial" w:hAnsi="Arial" w:cs="Arial"/>
          <w:color w:val="000000"/>
          <w:sz w:val="21"/>
          <w:szCs w:val="21"/>
          <w:lang w:val="uk-UA" w:eastAsia="uk-UA"/>
        </w:rPr>
        <w:t>and flying debris create a major hazard for eye injuries when walking around a construction site.</w:t>
      </w:r>
    </w:p>
    <w:p w:rsidR="00410C53" w:rsidRPr="00410C53" w:rsidRDefault="00410C53" w:rsidP="00410C53">
      <w:pPr>
        <w:shd w:val="clear" w:color="auto" w:fill="FFFFFF"/>
        <w:spacing w:after="225" w:line="360" w:lineRule="auto"/>
        <w:outlineLvl w:val="2"/>
        <w:rPr>
          <w:rFonts w:ascii="Arial" w:hAnsi="Arial" w:cs="Arial"/>
          <w:color w:val="294A70"/>
          <w:sz w:val="26"/>
          <w:szCs w:val="26"/>
          <w:lang w:val="uk-UA" w:eastAsia="uk-UA"/>
        </w:rPr>
      </w:pPr>
      <w:r w:rsidRPr="00410C53">
        <w:rPr>
          <w:rFonts w:ascii="Arial" w:hAnsi="Arial" w:cs="Arial"/>
          <w:b/>
          <w:bCs/>
          <w:color w:val="294A70"/>
          <w:sz w:val="26"/>
          <w:szCs w:val="26"/>
          <w:lang w:val="uk-UA" w:eastAsia="uk-UA"/>
        </w:rPr>
        <w:t>Best Practices When Surveying</w:t>
      </w:r>
    </w:p>
    <w:p w:rsidR="00410C53" w:rsidRPr="00410C53" w:rsidRDefault="00410C53" w:rsidP="00410C53">
      <w:pPr>
        <w:numPr>
          <w:ilvl w:val="0"/>
          <w:numId w:val="3"/>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lastRenderedPageBreak/>
        <w:t>When possible, have equipment stop when it is required to survey close to moving equipment. Plan out work tasks so they do not interfere with one another. For example, survey when operators are on lunch or break.</w:t>
      </w:r>
    </w:p>
    <w:p w:rsidR="00410C53" w:rsidRPr="00410C53" w:rsidRDefault="00410C53" w:rsidP="00410C53">
      <w:pPr>
        <w:numPr>
          <w:ilvl w:val="0"/>
          <w:numId w:val="3"/>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Always communicate in morning meetings or tailgate meetings about the plans for surveying that day when other work tasks are being completed in the area. Communication allows for planning as well as awareness between work groups of other people entering a work area. Make contact with operators when entering a work area.</w:t>
      </w:r>
    </w:p>
    <w:p w:rsidR="00410C53" w:rsidRPr="00410C53" w:rsidRDefault="00410C53" w:rsidP="00410C53">
      <w:pPr>
        <w:numPr>
          <w:ilvl w:val="0"/>
          <w:numId w:val="3"/>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Never walk under suspended loads or put yourself in the line of fire from higher work levels. Objects on higher work levels need to be secured and proper guardrail systems with toe boards need put into place to protect personnel below.</w:t>
      </w:r>
    </w:p>
    <w:p w:rsidR="00410C53" w:rsidRPr="00410C53" w:rsidRDefault="00410C53" w:rsidP="00410C53">
      <w:pPr>
        <w:numPr>
          <w:ilvl w:val="0"/>
          <w:numId w:val="3"/>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To prevent slip, trip, fall injuries practice good housekeeping. Eliminate as many of these hazards as possible instead of just walking around them. For muddy work areas, have a dozer or maintainer dress up the area instead of facing difficult working conditions when surveying.</w:t>
      </w:r>
    </w:p>
    <w:p w:rsidR="00410C53" w:rsidRPr="00410C53" w:rsidRDefault="00410C53" w:rsidP="00410C53">
      <w:pPr>
        <w:numPr>
          <w:ilvl w:val="0"/>
          <w:numId w:val="3"/>
        </w:numPr>
        <w:shd w:val="clear" w:color="auto" w:fill="FFFFFF"/>
        <w:spacing w:before="100" w:beforeAutospacing="1" w:after="100" w:afterAutospacing="1" w:line="360" w:lineRule="auto"/>
        <w:ind w:left="0"/>
        <w:rPr>
          <w:rFonts w:ascii="Arial" w:hAnsi="Arial" w:cs="Arial"/>
          <w:color w:val="000000"/>
          <w:sz w:val="21"/>
          <w:szCs w:val="21"/>
          <w:lang w:val="uk-UA" w:eastAsia="uk-UA"/>
        </w:rPr>
      </w:pPr>
      <w:r w:rsidRPr="00410C53">
        <w:rPr>
          <w:rFonts w:ascii="Arial" w:hAnsi="Arial" w:cs="Arial"/>
          <w:color w:val="000000"/>
          <w:sz w:val="21"/>
          <w:szCs w:val="21"/>
          <w:lang w:val="uk-UA" w:eastAsia="uk-UA"/>
        </w:rPr>
        <w:t>Eliminate dust by using water to suppress it. Avoid working downwind from moving equipment to avoid eye injuries. Wear proper safety glasses with side shields. Never rub your eye if you get dust in it. Notify a supervisor and rinse the eye with the proper eyewash solution.</w:t>
      </w:r>
    </w:p>
    <w:p w:rsidR="00A40EF2" w:rsidRPr="00A40EF2" w:rsidRDefault="00A40EF2" w:rsidP="00685570">
      <w:pPr>
        <w:spacing w:line="360" w:lineRule="auto"/>
        <w:rPr>
          <w:rFonts w:ascii="Times New Roman" w:eastAsia="Newton-Regular" w:hAnsi="Times New Roman"/>
          <w:sz w:val="32"/>
          <w:szCs w:val="32"/>
          <w:u w:val="single"/>
          <w:lang w:val="uk-UA"/>
        </w:rPr>
      </w:pPr>
      <w:r>
        <w:rPr>
          <w:rFonts w:ascii="Times New Roman" w:eastAsia="Newton-Regular" w:hAnsi="Times New Roman"/>
          <w:sz w:val="32"/>
          <w:szCs w:val="32"/>
          <w:u w:val="single"/>
          <w:lang w:val="uk-UA"/>
        </w:rPr>
        <w:t xml:space="preserve"> </w:t>
      </w:r>
    </w:p>
    <w:p w:rsidR="00410C53" w:rsidRDefault="00410C53" w:rsidP="00410C53">
      <w:pPr>
        <w:spacing w:line="360" w:lineRule="auto"/>
        <w:rPr>
          <w:rFonts w:ascii="Times New Roman" w:eastAsia="Newton-Regular" w:hAnsi="Times New Roman"/>
          <w:b/>
          <w:sz w:val="24"/>
          <w:szCs w:val="24"/>
          <w:lang w:val="uk-UA"/>
        </w:rPr>
      </w:pPr>
      <w:r w:rsidRPr="00410C53">
        <w:rPr>
          <w:rFonts w:ascii="Times New Roman" w:eastAsia="Newton-Regular" w:hAnsi="Times New Roman"/>
          <w:b/>
          <w:sz w:val="24"/>
          <w:szCs w:val="24"/>
          <w:lang w:val="uk-UA"/>
        </w:rPr>
        <w:t>Тема заняття. Усвідомлення правил ТБ, дотримання інструкцій, попереджень. Комп’ютерний переклад іншомовної інформації.</w:t>
      </w:r>
    </w:p>
    <w:p w:rsidR="00410C53" w:rsidRPr="00410C53" w:rsidRDefault="00410C53" w:rsidP="00410C53">
      <w:pPr>
        <w:spacing w:line="360" w:lineRule="auto"/>
        <w:rPr>
          <w:rFonts w:ascii="Times New Roman" w:eastAsia="Newton-Regular" w:hAnsi="Times New Roman"/>
          <w:sz w:val="24"/>
          <w:szCs w:val="24"/>
          <w:lang w:val="uk-UA"/>
        </w:rPr>
      </w:pPr>
      <w:r>
        <w:rPr>
          <w:rFonts w:ascii="Times New Roman" w:eastAsia="Newton-Regular" w:hAnsi="Times New Roman"/>
          <w:b/>
          <w:sz w:val="24"/>
          <w:szCs w:val="24"/>
          <w:lang w:val="uk-UA"/>
        </w:rPr>
        <w:t>Монологічне повідомлення професійного характеру.</w:t>
      </w:r>
    </w:p>
    <w:p w:rsidR="00410C53" w:rsidRPr="00410C53" w:rsidRDefault="00410C53" w:rsidP="00410C53">
      <w:pPr>
        <w:spacing w:line="360" w:lineRule="auto"/>
        <w:rPr>
          <w:rFonts w:ascii="Times New Roman" w:eastAsia="Newton-Regular" w:hAnsi="Times New Roman"/>
          <w:b/>
          <w:sz w:val="24"/>
          <w:szCs w:val="24"/>
          <w:lang w:val="uk-UA"/>
        </w:rPr>
      </w:pPr>
      <w:r w:rsidRPr="00410C53">
        <w:rPr>
          <w:rFonts w:ascii="Times New Roman" w:eastAsia="Newton-Regular" w:hAnsi="Times New Roman"/>
          <w:b/>
          <w:sz w:val="24"/>
          <w:szCs w:val="24"/>
          <w:lang w:val="uk-UA"/>
        </w:rPr>
        <w:t>Література: робочий зошит «Ділова англійська мова» /укладач Бурик Л. М./</w:t>
      </w:r>
    </w:p>
    <w:p w:rsidR="00410C53" w:rsidRPr="00410C53" w:rsidRDefault="00410C53" w:rsidP="00410C53">
      <w:pPr>
        <w:spacing w:line="360" w:lineRule="auto"/>
        <w:rPr>
          <w:rFonts w:ascii="Times New Roman" w:eastAsia="Newton-Regular" w:hAnsi="Times New Roman"/>
          <w:b/>
          <w:sz w:val="24"/>
          <w:szCs w:val="24"/>
          <w:lang w:val="uk-UA"/>
        </w:rPr>
      </w:pPr>
    </w:p>
    <w:p w:rsidR="00410C53" w:rsidRPr="00410C53" w:rsidRDefault="00410C53" w:rsidP="00410C53">
      <w:pPr>
        <w:spacing w:line="360" w:lineRule="auto"/>
        <w:rPr>
          <w:rFonts w:ascii="Times New Roman" w:eastAsia="Newton-Regular" w:hAnsi="Times New Roman"/>
          <w:b/>
          <w:sz w:val="24"/>
          <w:szCs w:val="24"/>
          <w:lang w:val="uk-UA"/>
        </w:rPr>
      </w:pPr>
      <w:r w:rsidRPr="00410C53">
        <w:rPr>
          <w:rFonts w:ascii="Times New Roman" w:eastAsia="Newton-Regular" w:hAnsi="Times New Roman"/>
          <w:b/>
          <w:sz w:val="24"/>
          <w:szCs w:val="24"/>
          <w:lang w:val="uk-UA"/>
        </w:rPr>
        <w:t xml:space="preserve">                               Завдання для виконання:</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rPr>
        <w:t xml:space="preserve">1. </w:t>
      </w:r>
      <w:r w:rsidRPr="00410C53">
        <w:rPr>
          <w:rFonts w:ascii="Times New Roman" w:eastAsia="Newton-Regular" w:hAnsi="Times New Roman"/>
          <w:sz w:val="24"/>
          <w:szCs w:val="24"/>
          <w:lang w:val="uk-UA"/>
        </w:rPr>
        <w:t xml:space="preserve">Завдання </w:t>
      </w:r>
      <w:r>
        <w:rPr>
          <w:rFonts w:ascii="Times New Roman" w:eastAsia="Newton-Regular" w:hAnsi="Times New Roman"/>
          <w:sz w:val="24"/>
          <w:szCs w:val="24"/>
        </w:rPr>
        <w:t xml:space="preserve">виконується </w:t>
      </w:r>
      <w:r>
        <w:rPr>
          <w:rFonts w:ascii="Times New Roman" w:eastAsia="Newton-Regular" w:hAnsi="Times New Roman"/>
          <w:sz w:val="24"/>
          <w:szCs w:val="24"/>
          <w:lang w:val="uk-UA"/>
        </w:rPr>
        <w:t>усно та письмово.</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rPr>
        <w:t xml:space="preserve">2. </w:t>
      </w:r>
      <w:r>
        <w:rPr>
          <w:rFonts w:ascii="Times New Roman" w:eastAsia="Newton-Regular" w:hAnsi="Times New Roman"/>
          <w:sz w:val="24"/>
          <w:szCs w:val="24"/>
          <w:lang w:val="uk-UA"/>
        </w:rPr>
        <w:t>Студенти складають повідомлення з теми « Техніка безпеки маркшейдера». Обсяг 10-12 речень.</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 xml:space="preserve">3. </w:t>
      </w:r>
      <w:r>
        <w:rPr>
          <w:rFonts w:ascii="Times New Roman" w:eastAsia="Newton-Regular" w:hAnsi="Times New Roman"/>
          <w:sz w:val="24"/>
          <w:szCs w:val="24"/>
          <w:lang w:val="uk-UA"/>
        </w:rPr>
        <w:t>Готують усне повідомлення з теми (10-12 фраз)</w:t>
      </w:r>
    </w:p>
    <w:p w:rsidR="00A40EF2" w:rsidRDefault="00A40EF2" w:rsidP="00685570">
      <w:pPr>
        <w:spacing w:line="360" w:lineRule="auto"/>
        <w:rPr>
          <w:rFonts w:ascii="Times New Roman" w:eastAsia="Newton-Regular" w:hAnsi="Times New Roman"/>
          <w:sz w:val="24"/>
          <w:szCs w:val="24"/>
          <w:lang w:val="uk-UA"/>
        </w:rPr>
      </w:pPr>
    </w:p>
    <w:p w:rsidR="00410C53" w:rsidRPr="00410C53" w:rsidRDefault="00410C53" w:rsidP="00410C53">
      <w:pPr>
        <w:spacing w:line="360" w:lineRule="auto"/>
        <w:rPr>
          <w:rFonts w:ascii="Times New Roman" w:eastAsia="Newton-Regular" w:hAnsi="Times New Roman"/>
          <w:b/>
          <w:sz w:val="24"/>
          <w:szCs w:val="24"/>
          <w:lang w:val="uk-UA"/>
        </w:rPr>
      </w:pPr>
      <w:r w:rsidRPr="00410C53">
        <w:rPr>
          <w:rFonts w:ascii="Times New Roman" w:eastAsia="Newton-Regular" w:hAnsi="Times New Roman"/>
          <w:b/>
          <w:sz w:val="24"/>
          <w:szCs w:val="24"/>
          <w:lang w:val="uk-UA"/>
        </w:rPr>
        <w:t>Тема заняття. Доповідь-презентація по спеціальності.</w:t>
      </w:r>
    </w:p>
    <w:p w:rsidR="00410C53" w:rsidRPr="00410C53" w:rsidRDefault="00410C53" w:rsidP="00410C53">
      <w:pPr>
        <w:spacing w:line="360" w:lineRule="auto"/>
        <w:rPr>
          <w:rFonts w:ascii="Times New Roman" w:eastAsia="Newton-Regular" w:hAnsi="Times New Roman"/>
          <w:b/>
          <w:sz w:val="24"/>
          <w:szCs w:val="24"/>
          <w:lang w:val="uk-UA"/>
        </w:rPr>
      </w:pPr>
      <w:r w:rsidRPr="00410C53">
        <w:rPr>
          <w:rFonts w:ascii="Times New Roman" w:eastAsia="Newton-Regular" w:hAnsi="Times New Roman"/>
          <w:b/>
          <w:sz w:val="24"/>
          <w:szCs w:val="24"/>
          <w:lang w:val="uk-UA"/>
        </w:rPr>
        <w:t>Література: підручник Англійська мова для технічних навчальних закладів /Л.М. Бурик, О.О. Ліщинська, Н.В. Переверза, під загальною редакцією О.В.Холошенко. – Кривий Ріг: 2015. – 129 с.</w:t>
      </w:r>
    </w:p>
    <w:p w:rsidR="00410C53" w:rsidRPr="00410C53" w:rsidRDefault="00410C53" w:rsidP="00410C53">
      <w:pPr>
        <w:spacing w:line="360" w:lineRule="auto"/>
        <w:rPr>
          <w:rFonts w:ascii="Times New Roman" w:eastAsia="Newton-Regular" w:hAnsi="Times New Roman"/>
          <w:sz w:val="24"/>
          <w:szCs w:val="24"/>
          <w:lang w:val="uk-UA"/>
        </w:rPr>
      </w:pPr>
      <w:r>
        <w:rPr>
          <w:rFonts w:ascii="Times New Roman" w:eastAsia="Newton-Regular" w:hAnsi="Times New Roman"/>
          <w:sz w:val="24"/>
          <w:szCs w:val="24"/>
          <w:lang w:val="uk-UA"/>
        </w:rPr>
        <w:lastRenderedPageBreak/>
        <w:t xml:space="preserve">                                              </w:t>
      </w:r>
      <w:r w:rsidRPr="00410C53">
        <w:rPr>
          <w:rFonts w:ascii="Times New Roman" w:eastAsia="Newton-Regular" w:hAnsi="Times New Roman"/>
          <w:sz w:val="24"/>
          <w:szCs w:val="24"/>
          <w:lang w:val="uk-UA"/>
        </w:rPr>
        <w:t>Завдання для виконання:</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 xml:space="preserve">1. Студенти складають презентацію з 5-6 слайдів по спеціальності. </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2. Представляють усну доповідь до презентації. Доповідь має складатись з :</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10-12 фраз – 10-12 балів, за умови грамотного та змістовного висловлювання з теми;</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7-9 фраз – 7-9 балів;</w:t>
      </w:r>
    </w:p>
    <w:p w:rsidR="00410C53" w:rsidRP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5-6 фраз – 5-6 балів.</w:t>
      </w:r>
    </w:p>
    <w:p w:rsidR="00410C53" w:rsidRDefault="00410C53" w:rsidP="00410C53">
      <w:pPr>
        <w:spacing w:line="360" w:lineRule="auto"/>
        <w:rPr>
          <w:rFonts w:ascii="Times New Roman" w:eastAsia="Newton-Regular" w:hAnsi="Times New Roman"/>
          <w:sz w:val="24"/>
          <w:szCs w:val="24"/>
          <w:lang w:val="uk-UA"/>
        </w:rPr>
      </w:pPr>
      <w:r w:rsidRPr="00410C53">
        <w:rPr>
          <w:rFonts w:ascii="Times New Roman" w:eastAsia="Newton-Regular" w:hAnsi="Times New Roman"/>
          <w:sz w:val="24"/>
          <w:szCs w:val="24"/>
          <w:lang w:val="uk-UA"/>
        </w:rPr>
        <w:t>4 бали – за умови зданої презентації, без усного захисту.</w:t>
      </w: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p>
    <w:p w:rsidR="00D029A8" w:rsidRDefault="00D029A8" w:rsidP="00410C53">
      <w:pPr>
        <w:spacing w:line="360" w:lineRule="auto"/>
        <w:rPr>
          <w:rFonts w:ascii="Times New Roman" w:eastAsia="Newton-Regular" w:hAnsi="Times New Roman"/>
          <w:sz w:val="24"/>
          <w:szCs w:val="24"/>
          <w:lang w:val="uk-UA"/>
        </w:rPr>
      </w:pPr>
      <w:bookmarkStart w:id="0" w:name="_GoBack"/>
      <w:bookmarkEnd w:id="0"/>
    </w:p>
    <w:sectPr w:rsidR="00D029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51"/>
    <w:multiLevelType w:val="multilevel"/>
    <w:tmpl w:val="B8A8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0724E"/>
    <w:multiLevelType w:val="multilevel"/>
    <w:tmpl w:val="CB0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A5C1D"/>
    <w:multiLevelType w:val="multilevel"/>
    <w:tmpl w:val="1AD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E4745"/>
    <w:multiLevelType w:val="multilevel"/>
    <w:tmpl w:val="BF6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B47FF"/>
    <w:multiLevelType w:val="multilevel"/>
    <w:tmpl w:val="7A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67163"/>
    <w:multiLevelType w:val="multilevel"/>
    <w:tmpl w:val="760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8"/>
    <w:rsid w:val="002116E8"/>
    <w:rsid w:val="00350D85"/>
    <w:rsid w:val="00410C53"/>
    <w:rsid w:val="004C65B6"/>
    <w:rsid w:val="006723AB"/>
    <w:rsid w:val="00685570"/>
    <w:rsid w:val="008B20B9"/>
    <w:rsid w:val="00963077"/>
    <w:rsid w:val="00A40EF2"/>
    <w:rsid w:val="00D029A8"/>
    <w:rsid w:val="00E04910"/>
    <w:rsid w:val="00EE0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ACEAB-D112-425D-AE62-CE84C902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D8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230">
      <w:bodyDiv w:val="1"/>
      <w:marLeft w:val="0"/>
      <w:marRight w:val="0"/>
      <w:marTop w:val="0"/>
      <w:marBottom w:val="0"/>
      <w:divBdr>
        <w:top w:val="none" w:sz="0" w:space="0" w:color="auto"/>
        <w:left w:val="none" w:sz="0" w:space="0" w:color="auto"/>
        <w:bottom w:val="none" w:sz="0" w:space="0" w:color="auto"/>
        <w:right w:val="none" w:sz="0" w:space="0" w:color="auto"/>
      </w:divBdr>
    </w:div>
    <w:div w:id="925262924">
      <w:bodyDiv w:val="1"/>
      <w:marLeft w:val="0"/>
      <w:marRight w:val="0"/>
      <w:marTop w:val="0"/>
      <w:marBottom w:val="0"/>
      <w:divBdr>
        <w:top w:val="none" w:sz="0" w:space="0" w:color="auto"/>
        <w:left w:val="none" w:sz="0" w:space="0" w:color="auto"/>
        <w:bottom w:val="none" w:sz="0" w:space="0" w:color="auto"/>
        <w:right w:val="none" w:sz="0" w:space="0" w:color="auto"/>
      </w:divBdr>
      <w:divsChild>
        <w:div w:id="28721980">
          <w:marLeft w:val="0"/>
          <w:marRight w:val="0"/>
          <w:marTop w:val="0"/>
          <w:marBottom w:val="0"/>
          <w:divBdr>
            <w:top w:val="none" w:sz="0" w:space="0" w:color="auto"/>
            <w:left w:val="none" w:sz="0" w:space="0" w:color="auto"/>
            <w:bottom w:val="none" w:sz="0" w:space="0" w:color="auto"/>
            <w:right w:val="none" w:sz="0" w:space="0" w:color="auto"/>
          </w:divBdr>
        </w:div>
        <w:div w:id="856962583">
          <w:marLeft w:val="0"/>
          <w:marRight w:val="0"/>
          <w:marTop w:val="0"/>
          <w:marBottom w:val="0"/>
          <w:divBdr>
            <w:top w:val="none" w:sz="0" w:space="0" w:color="auto"/>
            <w:left w:val="none" w:sz="0" w:space="0" w:color="auto"/>
            <w:bottom w:val="none" w:sz="0" w:space="0" w:color="auto"/>
            <w:right w:val="none" w:sz="0" w:space="0" w:color="auto"/>
          </w:divBdr>
          <w:divsChild>
            <w:div w:id="1171406033">
              <w:marLeft w:val="0"/>
              <w:marRight w:val="0"/>
              <w:marTop w:val="0"/>
              <w:marBottom w:val="0"/>
              <w:divBdr>
                <w:top w:val="none" w:sz="0" w:space="0" w:color="auto"/>
                <w:left w:val="none" w:sz="0" w:space="0" w:color="auto"/>
                <w:bottom w:val="none" w:sz="0" w:space="0" w:color="auto"/>
                <w:right w:val="none" w:sz="0" w:space="0" w:color="auto"/>
              </w:divBdr>
              <w:divsChild>
                <w:div w:id="1427995921">
                  <w:marLeft w:val="0"/>
                  <w:marRight w:val="0"/>
                  <w:marTop w:val="0"/>
                  <w:marBottom w:val="0"/>
                  <w:divBdr>
                    <w:top w:val="none" w:sz="0" w:space="0" w:color="auto"/>
                    <w:left w:val="none" w:sz="0" w:space="0" w:color="auto"/>
                    <w:bottom w:val="none" w:sz="0" w:space="0" w:color="auto"/>
                    <w:right w:val="none" w:sz="0" w:space="0" w:color="auto"/>
                  </w:divBdr>
                  <w:divsChild>
                    <w:div w:id="40370472">
                      <w:marLeft w:val="0"/>
                      <w:marRight w:val="0"/>
                      <w:marTop w:val="0"/>
                      <w:marBottom w:val="0"/>
                      <w:divBdr>
                        <w:top w:val="none" w:sz="0" w:space="0" w:color="auto"/>
                        <w:left w:val="none" w:sz="0" w:space="0" w:color="auto"/>
                        <w:bottom w:val="none" w:sz="0" w:space="0" w:color="auto"/>
                        <w:right w:val="none" w:sz="0" w:space="0" w:color="auto"/>
                      </w:divBdr>
                    </w:div>
                  </w:divsChild>
                </w:div>
                <w:div w:id="331032257">
                  <w:marLeft w:val="0"/>
                  <w:marRight w:val="0"/>
                  <w:marTop w:val="0"/>
                  <w:marBottom w:val="0"/>
                  <w:divBdr>
                    <w:top w:val="none" w:sz="0" w:space="0" w:color="auto"/>
                    <w:left w:val="none" w:sz="0" w:space="0" w:color="auto"/>
                    <w:bottom w:val="none" w:sz="0" w:space="0" w:color="auto"/>
                    <w:right w:val="none" w:sz="0" w:space="0" w:color="auto"/>
                  </w:divBdr>
                  <w:divsChild>
                    <w:div w:id="268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dust-co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dropped-objects/" TargetMode="External"/><Relationship Id="rId5" Type="http://schemas.openxmlformats.org/officeDocument/2006/relationships/hyperlink" Target="https://www.safetytalkideas.com/safetytalks/heavy-equipment-two-major-haz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2020-03-22T22:13:00Z</dcterms:created>
  <dcterms:modified xsi:type="dcterms:W3CDTF">2020-03-22T22:13:00Z</dcterms:modified>
</cp:coreProperties>
</file>